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B7EB5" w14:textId="61A8342A" w:rsidR="005219AF" w:rsidRPr="00103C41" w:rsidRDefault="0093219F" w:rsidP="00103C41">
      <w:pPr>
        <w:tabs>
          <w:tab w:val="left" w:pos="1425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Letter 37</w:t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>/20</w:t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81153F"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ab/>
      </w:r>
      <w:r w:rsidR="00A44673" w:rsidRPr="00103C41">
        <w:rPr>
          <w:rFonts w:ascii="Arial" w:hAnsi="Arial" w:cs="Arial"/>
          <w:b/>
          <w:color w:val="000000"/>
          <w:sz w:val="24"/>
          <w:szCs w:val="24"/>
        </w:rPr>
        <w:t>Dated:</w:t>
      </w:r>
      <w:r w:rsidR="00AE642A" w:rsidRPr="00103C4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18</w:t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>.0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103C41" w:rsidRPr="00103C41">
        <w:rPr>
          <w:rFonts w:ascii="Arial" w:hAnsi="Arial" w:cs="Arial"/>
          <w:b/>
          <w:color w:val="000000"/>
          <w:sz w:val="24"/>
          <w:szCs w:val="24"/>
        </w:rPr>
        <w:t>.2020</w:t>
      </w:r>
    </w:p>
    <w:p w14:paraId="0D200E78" w14:textId="77777777" w:rsidR="00D353AA" w:rsidRDefault="00D353AA" w:rsidP="00103C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6A08F23" w14:textId="77777777" w:rsidR="00D353AA" w:rsidRPr="00D353AA" w:rsidRDefault="00D353AA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To</w:t>
      </w:r>
    </w:p>
    <w:p w14:paraId="589FD71A" w14:textId="51746EC3" w:rsidR="00D353AA" w:rsidRDefault="0093219F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Shri Sunil Mehta,</w:t>
      </w:r>
    </w:p>
    <w:p w14:paraId="7ACA0408" w14:textId="04EFBC78" w:rsidR="0093219F" w:rsidRDefault="0093219F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Chief Executive,</w:t>
      </w:r>
    </w:p>
    <w:p w14:paraId="7C1DF06D" w14:textId="1DE1822A" w:rsidR="0093219F" w:rsidRDefault="0093219F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Indian Bank’s Association</w:t>
      </w:r>
    </w:p>
    <w:p w14:paraId="6F4B458B" w14:textId="2F6D8463" w:rsidR="0093219F" w:rsidRPr="00D353AA" w:rsidRDefault="0093219F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Mumbai</w:t>
      </w:r>
    </w:p>
    <w:p w14:paraId="070BF2CA" w14:textId="77777777" w:rsidR="00D353AA" w:rsidRPr="00D353AA" w:rsidRDefault="00D353AA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706DE9E6" w14:textId="77777777" w:rsidR="00D353AA" w:rsidRPr="00D353AA" w:rsidRDefault="00D353AA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Dear Sir,</w:t>
      </w:r>
    </w:p>
    <w:p w14:paraId="776E3665" w14:textId="77777777" w:rsidR="00D353AA" w:rsidRDefault="00D353AA" w:rsidP="00D353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43B31770" w14:textId="3C5080E9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Sub: Pension arrears on pension revision on merger of DA at 1684 points</w:t>
      </w:r>
    </w:p>
    <w:p w14:paraId="6AD6C657" w14:textId="77777777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</w:p>
    <w:p w14:paraId="4896F955" w14:textId="27044BA5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Ref: i) Supreme Court Judgement dated 13/2/2018 in Civil Appeal No.5525 of 2012</w:t>
      </w:r>
    </w:p>
    <w:p w14:paraId="62E7FCF5" w14:textId="63B32464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(Bank of Baroda Vs. Mr. G.Palani &amp;</w:t>
      </w:r>
      <w:r w:rsid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amp; Ors)</w:t>
      </w:r>
    </w:p>
    <w:p w14:paraId="7BAD0A0D" w14:textId="77777777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</w:p>
    <w:p w14:paraId="78E01CFD" w14:textId="165793D1" w:rsidR="00D353AA" w:rsidRPr="0093219F" w:rsidRDefault="0093219F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      </w:t>
      </w:r>
      <w:r w:rsidR="00D353AA"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ii) Supreme Court Order dated 28/8/19 in</w:t>
      </w:r>
      <w:r w:rsid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="00D353AA"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Contempt Petition (</w:t>
      </w:r>
      <w:r w:rsidR="00F42EFD"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C)</w:t>
      </w:r>
      <w:r w:rsidR="00D353AA"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Nos. 209- 311/</w:t>
      </w:r>
    </w:p>
    <w:p w14:paraId="48C51BE2" w14:textId="77777777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2019 filed by Mr. H G Srinivas Prasad, etc, against Chairman, SBI</w:t>
      </w:r>
    </w:p>
    <w:p w14:paraId="793934DF" w14:textId="77777777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</w:p>
    <w:p w14:paraId="4CCB7E40" w14:textId="293AC5B1" w:rsidR="00D353AA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                 </w:t>
      </w:r>
      <w:r w:rsidR="00D353AA"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iii) Your Letter No. HR &amp;amp; IR/2018-19/G2/4786 dated 3/4/2018</w:t>
      </w:r>
    </w:p>
    <w:p w14:paraId="4EBEDC76" w14:textId="77777777" w:rsidR="0093219F" w:rsidRPr="0093219F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</w:p>
    <w:p w14:paraId="35B72C3A" w14:textId="45BD8A00" w:rsidR="00D353AA" w:rsidRPr="0093219F" w:rsidRDefault="0093219F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     </w:t>
      </w:r>
      <w:r w:rsidR="00D353AA"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iv) Your Letter No. HR &amp;amp; IR/2019-20/SKK/G2 dated 4/6/2019 addressed to</w:t>
      </w:r>
    </w:p>
    <w:p w14:paraId="4F2871C7" w14:textId="77777777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93219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UCO Bank, United India Bank of India and Andhra Bank</w:t>
      </w:r>
    </w:p>
    <w:p w14:paraId="0CC61AF1" w14:textId="77777777" w:rsidR="00D353AA" w:rsidRPr="0093219F" w:rsidRDefault="00D353AA" w:rsidP="009321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</w:p>
    <w:p w14:paraId="7020A934" w14:textId="6EB14DBF" w:rsidR="00D353AA" w:rsidRPr="00D353AA" w:rsidRDefault="00D353AA" w:rsidP="0093219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In spite of the unambiguous communication vide the captioned letters from your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office to implement the Supreme court judgement in the captioned Civil Appeal No.5525 of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2012, there is partial and/or faulty implementation of the judgement by many banks. Even after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 Supreme Court’s order in the captioned contempt petition against SBI, many banks are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delaying or denying the entitlement ordered by the Supreme Court. Banks can form a legal view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on any matter and litigate but once the court decided the matter, that too the highest court, banks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are expected to comply and not invite contempt of the court.</w:t>
      </w:r>
    </w:p>
    <w:p w14:paraId="15105812" w14:textId="77777777" w:rsidR="00D353AA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62DF511E" w14:textId="4BE92F9F" w:rsidR="00D353AA" w:rsidRPr="006F0324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In Contempt Petition (</w:t>
      </w:r>
      <w:r w:rsidR="00F42EFD"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C)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No. 928 of 2016 In (Transfer Case (C) No.95 of 2015)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and Contempt Petition (C) No.59 of 2017 In (Transfer Case (C) No.95 of 2015) of GIRISH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MITTAL Vs. PARVATI V. SUNDARAM &amp;amp; ANR, the Supreme Court held on 26/4/2019,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F42EFD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“9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. We do not agree with that a contempt petition is maintainable only at the behest of a party</w:t>
      </w:r>
      <w:r w:rsidR="009E678F"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to the judgment. The directions issued by this Court are general in nature and any violation of</w:t>
      </w:r>
      <w:r w:rsidR="009E678F"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such directions would enable an aggrieved party to file a contempt petition.”</w:t>
      </w:r>
    </w:p>
    <w:p w14:paraId="7E179448" w14:textId="77777777" w:rsidR="00D353AA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72E332BE" w14:textId="4BD4C266" w:rsidR="00D353AA" w:rsidRDefault="00D353AA" w:rsidP="009E678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You will appreciate that no bank shall, therefore, risk the embarrassment of a contempt petition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being filed against its CEO/MD by any anxious aggrieved retiree.</w:t>
      </w:r>
    </w:p>
    <w:p w14:paraId="3C32A284" w14:textId="7D916529" w:rsidR="00F42EFD" w:rsidRDefault="00F42EFD" w:rsidP="009E678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4DE2D379" w14:textId="77777777" w:rsidR="00F42EFD" w:rsidRPr="00D353AA" w:rsidRDefault="00F42EFD" w:rsidP="009E678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4FB30EE5" w14:textId="77777777" w:rsidR="00D353AA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111E9D16" w14:textId="1B05A155" w:rsidR="00D353AA" w:rsidRPr="009E678F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lastRenderedPageBreak/>
        <w:t xml:space="preserve">1) </w:t>
      </w:r>
      <w:r w:rsidRPr="009E678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Pension revision arrears to </w:t>
      </w:r>
      <w:r w:rsidR="00F42EFD" w:rsidRPr="009E678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those</w:t>
      </w:r>
      <w:r w:rsidRPr="009E678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retired between 1/11/2002 and 30/04/2005</w:t>
      </w:r>
    </w:p>
    <w:p w14:paraId="336D36D8" w14:textId="77777777" w:rsidR="00D353AA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53B9933B" w14:textId="5BD2701E" w:rsidR="00D353AA" w:rsidRPr="00D353AA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Many banks are refusing to extend the benefit of the Supreme Court judgement to the above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retirees under the mistaken notion that the judgement covers only those who retired between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1/4/98 and 31/10/2002. The very basis of payment of pension on notional basic pay by merger of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DA at 1616 points instead of actual basic pay on merger of DA at 1684 points from 1/4/1998 was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due to insertion of Explanation </w:t>
      </w:r>
      <w:r w:rsidR="00F42EFD"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(c)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to Reg 2(s) of Bank Employees Pension Regulations, 1995.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The above cited Supreme Court judgement struck down Explanation </w:t>
      </w:r>
      <w:r w:rsidR="00F42EFD"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(c)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to Reg. 2(s) as being</w:t>
      </w:r>
      <w:r w:rsidR="009E678F"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arbitrary and repugnant to other provisions/Regulations namely 2(d), 38(1)(2).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Hence arrears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have been paid to all those who retired between 1/4/1998 and 31/10/2002. All those who retired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between 1/11/2002 and 30/4/2005 have been similarly affected by this 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Explanation </w:t>
      </w:r>
      <w:r w:rsidR="00F42EFD"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(c)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to Reg.</w:t>
      </w:r>
      <w:r w:rsidR="009E678F"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6F0324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2(s)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and as similarly placed retirees, they should also get the benefit of the above judgement of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 Supreme Court.</w:t>
      </w:r>
    </w:p>
    <w:p w14:paraId="7CDDC195" w14:textId="77777777" w:rsidR="00D353AA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6D5AEC5E" w14:textId="37E02FCF" w:rsidR="00D353AA" w:rsidRPr="00D353AA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You will therefore appreciate that the retirees between 1/11/2002 and 30/4/2005 are also entitled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to receive pension arrears and commutation arrears on actual basic pay without having to file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contempt petitions as aggrieved retirees. Pre May, 2005 retirees being mostly 70 years and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above is itself a good enough reason for immediate disbursement of their entitlement. Kindly do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 needful.</w:t>
      </w:r>
    </w:p>
    <w:p w14:paraId="542ACA2F" w14:textId="77777777" w:rsidR="00D353AA" w:rsidRPr="00D353AA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89B469E" w14:textId="77777777" w:rsidR="00D353AA" w:rsidRPr="009E678F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2) </w:t>
      </w:r>
      <w:r w:rsidRPr="009E678F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Payment of differential commutation arrears</w:t>
      </w:r>
    </w:p>
    <w:p w14:paraId="76179A97" w14:textId="77777777" w:rsidR="00D353AA" w:rsidRPr="009E678F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</w:p>
    <w:p w14:paraId="485DFC43" w14:textId="35581233" w:rsidR="00D353AA" w:rsidRPr="00D353AA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Consequent upon above pension revision, the commutation already made and paid had to be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recomputed for the revised basic pension and arrears have to be paid. Many banks are yet to pay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commutation difference arrears and even the few banks who paid have not followed a uniform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principle.</w:t>
      </w:r>
    </w:p>
    <w:p w14:paraId="4829C5EC" w14:textId="77777777" w:rsidR="00D353AA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55AEDC71" w14:textId="16283388" w:rsidR="00D353AA" w:rsidRPr="00F42EFD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Hon’ble Supreme Court’s judgement in the captioned Civil Appeal No. 5525 of 2012 stated,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“34.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Thus, we set aside the judgment rendered by the High Court of Delhi and affirm that of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High Courts of Karnataka at Bangalore and the High Court of Madras. The appeals filed by the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Banks are dismissed and the appeal filed by the Association is allowed. Resultantly, let the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amount which was due and payable be paid with 9% interest, be calculated and paid within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four months from today.</w:t>
      </w:r>
    </w:p>
    <w:p w14:paraId="39911B9E" w14:textId="77777777" w:rsidR="0093219F" w:rsidRDefault="0093219F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36222A16" w14:textId="3DEA7558" w:rsidR="00D353AA" w:rsidRPr="00F42EFD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Referring to Karnataka High Court judgement, the Supreme Court in Contempt Petition (C )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Nos. 209- 311/ 2019 stated, “ 6.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There is clear and categorical direction that after the retirement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of the petitioners they ought to have been paid the correct value of the pension. Precisely,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direction has been made to make the revised correct value of commuted pension that would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relate back to the date of the retirement….in view of the clear and categorical order passed by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the High Court which has been affirmed by this Court…... It is assured to us that the payment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would be made within four weeks. Let the payment be made, as assured, within four weeks and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compliance be reported within six weeks. In case the compliance is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lastRenderedPageBreak/>
        <w:t>not reported by the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respondents, they shall be liable for further proceedings under the contempt of Court by this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Court.”</w:t>
      </w:r>
    </w:p>
    <w:p w14:paraId="57B566B5" w14:textId="77777777" w:rsidR="00D353AA" w:rsidRPr="00F42EFD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</w:p>
    <w:p w14:paraId="7E13CF3F" w14:textId="67899E9A" w:rsidR="00D353AA" w:rsidRPr="00D353AA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It is therefore clear that the </w:t>
      </w:r>
      <w:r w:rsidRPr="00F42EFD"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  <w:t>revised correct value of pension has to be paid and that commutation</w:t>
      </w:r>
      <w:r w:rsidR="009E678F" w:rsidRPr="00F42EFD"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  <w:t xml:space="preserve"> </w:t>
      </w:r>
      <w:r w:rsidRPr="00F42EFD"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  <w:t>shall relate back to the date of the retirement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. Of course, when a portion of pension is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commuted, the same has to be recovered from monthly pension over a period of 15 years. The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moot question is the determination of the date of commencement of monthly recovery from the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retirees. Banks that have so far paid commutation difference arrears have reckoned monthly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recovery to commence from the month after retirement, in which case the whole amount to be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recovered is past due and payable from the retirees to the banks. Hence these banks have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recovered the same in one lump sum from out of the commutation difference arrears and some of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them recovered it at 9% interest. Commencement of recovery has been wrongly reckoned by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these banks in violation of the Supreme Court order and Bank Employees Pension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Regulations,1995 read in conjunction with Central Civil Services (Commutation of Pension)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Rules, 1981. It can be seen from the Regulations that commutation value relates to the date of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retirement while recovery commences only after the actual payment of commutation to a retiree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.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In other words, the recovery is not past due and payable but becomes due and payable in future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over the next 15 years following the actual payment of commutation of a retiree.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Further the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court ordered payment of interest to the retirees and not recovery of any amount from retirees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with interest</w:t>
      </w:r>
    </w:p>
    <w:p w14:paraId="58B0286C" w14:textId="77777777" w:rsidR="0093219F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28E98402" w14:textId="29027738" w:rsidR="00D353AA" w:rsidRPr="00F42EFD" w:rsidRDefault="00D353AA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In the present instance, Commutation difference arrears though computed in relation to the date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of retirement are paid /to be paid only now and are therefore governed by the current proviso</w:t>
      </w:r>
      <w:r w:rsidR="009E678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clause to Reg. 41(6) of Bank Employees Pension Regulations, 1995 that states, “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Where,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however, payment of commuted value of pension could not be made within the first month after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the date of retirement or within the first month after the date when the commutation becomes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absolute as the case may be, the difference between the normal monthly pension and the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commuted pension shall be paid for the period between the date on which commutation becomes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absolute and the date preceding the date on which commuted value of pension is deemed to have</w:t>
      </w:r>
      <w:r w:rsidR="009E678F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been paid.”</w:t>
      </w:r>
    </w:p>
    <w:p w14:paraId="4B703B95" w14:textId="77777777" w:rsidR="0093219F" w:rsidRDefault="0093219F" w:rsidP="009E67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489287B" w14:textId="33861D43" w:rsidR="00D353AA" w:rsidRPr="00D353AA" w:rsidRDefault="00D353AA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 above proviso clause requires that in case of delay in paying commuted value of pension ,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the difference between the normal pension and commuted pension ( </w:t>
      </w:r>
      <w:r w:rsidR="00F42EFD"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i.e.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the monthly pension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payable on account of deducting commuted portion ) shall be paid from the date of retirement till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 date of actual payment of commuted value of pension.</w:t>
      </w:r>
    </w:p>
    <w:p w14:paraId="186F6DB3" w14:textId="77777777" w:rsidR="0093219F" w:rsidRDefault="0093219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2F39710" w14:textId="372A36C9" w:rsidR="00D353AA" w:rsidRPr="00D353AA" w:rsidRDefault="0081153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If,</w:t>
      </w:r>
      <w:r w:rsidR="00D353AA"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however, a doubt exists despite the above proviso clause, then reference has to be made to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D353AA"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Central Civil Services (Commutation of Pension) Rules, 1981.in terms of Reg.56 of Bank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D353AA"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Employees Pension Regulations,1995.</w:t>
      </w:r>
    </w:p>
    <w:p w14:paraId="4D2C128E" w14:textId="77777777" w:rsidR="0093219F" w:rsidRDefault="0093219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7BB23DDA" w14:textId="0D32F4DF" w:rsidR="00D353AA" w:rsidRPr="00D353AA" w:rsidRDefault="00D353AA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The proviso clause to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Rule 6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therein states that the reduction in the amount of pension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becomes</w:t>
      </w:r>
      <w:r w:rsidR="00072703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operative only after actual receipt of commuted value of pension.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The Proviso clause to Rule 6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is reproduced here under:</w:t>
      </w:r>
    </w:p>
    <w:p w14:paraId="7FFBD4B2" w14:textId="77777777" w:rsidR="00D353AA" w:rsidRPr="00D353AA" w:rsidRDefault="00D353AA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269DFC65" w14:textId="35BBA233" w:rsidR="00D353AA" w:rsidRPr="00D353AA" w:rsidRDefault="00D353AA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lastRenderedPageBreak/>
        <w:t>(a) in the case of an applicant who is drawing his pension from a treasury or Accounts Officer,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the reduction in the amount of pension on account of commutation shall be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operative from the</w:t>
      </w:r>
      <w:r w:rsidR="00072703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date of receipt of the commuted value of pension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or at the end of three months after issue of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authority by the Accounts Officer for the payment of commuted value of pension, whichever is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earlier, and</w:t>
      </w:r>
    </w:p>
    <w:p w14:paraId="1FA84342" w14:textId="77777777" w:rsidR="0093219F" w:rsidRDefault="0093219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B6A622B" w14:textId="0CED1BC2" w:rsidR="00D353AA" w:rsidRPr="00D353AA" w:rsidRDefault="00D353AA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(b) in the case of an applicant who is drawing pension from a branch of a nationalized bank, the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reduction in the amount of pension on account of commutation shall be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operative from the date</w:t>
      </w:r>
      <w:r w:rsidR="00072703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on which the commuted of pension is credited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by the bank to the applicant&amp;#39;s account to which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pension is being credited.</w:t>
      </w:r>
    </w:p>
    <w:p w14:paraId="5F6A5D23" w14:textId="77777777" w:rsidR="0093219F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78B14208" w14:textId="38DD2958" w:rsidR="00D353AA" w:rsidRPr="00F42EFD" w:rsidRDefault="00D353AA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The Proviso clause to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Rule 10 A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states, “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when the commutation amount was paid on more than</w:t>
      </w:r>
      <w:r w:rsidR="00072703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one occasion on account of upward revision of pension, the respective commuted amount of</w:t>
      </w:r>
      <w:r w:rsidR="00072703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pension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u w:val="single"/>
          <w:lang w:val="en-IN" w:eastAsia="en-IN"/>
        </w:rPr>
        <w:t>shall be restored on completion of fifteen years from the respective date(s).”</w:t>
      </w:r>
    </w:p>
    <w:p w14:paraId="771737BC" w14:textId="77777777" w:rsidR="0093219F" w:rsidRDefault="0093219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346228B7" w14:textId="7DD2DEC5" w:rsidR="00D353AA" w:rsidRDefault="00D353AA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Bank Employees Pension Regulations, 1995 require monthly recovery of commuted value of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pension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to commence only subsequent to the date of actual receipt of Commutation amount</w:t>
      </w:r>
      <w:r w:rsidR="00072703"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 xml:space="preserve">and not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when commutation became absolute. So, the </w:t>
      </w:r>
      <w:r w:rsidRPr="00F42EFD"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  <w:t>15 year monthly recovery of commutation</w:t>
      </w:r>
      <w:r w:rsidR="00072703" w:rsidRPr="00F42EFD"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  <w:t xml:space="preserve"> </w:t>
      </w:r>
      <w:r w:rsidRPr="00F42EFD"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  <w:t xml:space="preserve">amount is </w:t>
      </w:r>
      <w:r w:rsidRPr="00F42EFD">
        <w:rPr>
          <w:rFonts w:ascii="Arial" w:hAnsi="Arial" w:cs="Arial"/>
          <w:b/>
          <w:bCs/>
          <w:color w:val="000000"/>
          <w:sz w:val="24"/>
          <w:szCs w:val="24"/>
          <w:u w:val="single"/>
          <w:lang w:val="en-IN" w:eastAsia="en-IN"/>
        </w:rPr>
        <w:t>not past due</w:t>
      </w:r>
      <w:r w:rsidRPr="00F42EFD">
        <w:rPr>
          <w:rFonts w:ascii="Arial" w:hAnsi="Arial" w:cs="Arial"/>
          <w:color w:val="000000"/>
          <w:sz w:val="24"/>
          <w:szCs w:val="24"/>
          <w:u w:val="single"/>
          <w:lang w:val="en-IN" w:eastAsia="en-IN"/>
        </w:rPr>
        <w:t xml:space="preserve"> to attract interest.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As monthly recovery becomes due and payable only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after receipt of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c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ommutation value and not earlier, there can be no recovery of any interest on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the amount to be recovered.</w:t>
      </w:r>
    </w:p>
    <w:p w14:paraId="1DB91930" w14:textId="61081662" w:rsidR="0081153F" w:rsidRDefault="0081153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E4FA68A" w14:textId="7067ADE5" w:rsidR="0081153F" w:rsidRPr="00D353AA" w:rsidRDefault="0081153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In fact, State Bank of India too, in consequence of above contempt petition, followed the principle of commencing commutation recovery only after the date of payment of commutation.</w:t>
      </w:r>
    </w:p>
    <w:p w14:paraId="415B834D" w14:textId="77777777" w:rsidR="0093219F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4E606BA5" w14:textId="63F28295" w:rsidR="00D353AA" w:rsidRDefault="00D353AA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In view of the above, kindly convey instructions to all member banks to pay commutation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arrears with interest and commence monthly recovery of commuted value only after receipt of</w:t>
      </w:r>
      <w:r w:rsidR="00072703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commutation value by those who retired between 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>0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1/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>04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>/</w:t>
      </w:r>
      <w:r w:rsidR="0093219F">
        <w:rPr>
          <w:rFonts w:ascii="Arial" w:hAnsi="Arial" w:cs="Arial"/>
          <w:color w:val="000000"/>
          <w:sz w:val="24"/>
          <w:szCs w:val="24"/>
          <w:lang w:val="en-IN" w:eastAsia="en-IN"/>
        </w:rPr>
        <w:t>1998</w:t>
      </w:r>
      <w:r w:rsidRPr="00D353AA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and 30/4/2005.</w:t>
      </w:r>
    </w:p>
    <w:p w14:paraId="36432018" w14:textId="48330D50" w:rsidR="0093219F" w:rsidRDefault="0093219F" w:rsidP="000727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699292AC" w14:textId="73E54706" w:rsidR="0093219F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With regards,</w:t>
      </w:r>
    </w:p>
    <w:p w14:paraId="40919AA3" w14:textId="3DE2B19B" w:rsidR="0093219F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3CC46E09" w14:textId="57412583" w:rsidR="0093219F" w:rsidRDefault="0093219F" w:rsidP="0093219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Yours Sincerely,</w:t>
      </w:r>
    </w:p>
    <w:p w14:paraId="48066890" w14:textId="00E4A422" w:rsidR="00E63D16" w:rsidRPr="00103C41" w:rsidRDefault="00E63D16" w:rsidP="0093219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3C41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37BF88E7" wp14:editId="49F3DBEF">
            <wp:extent cx="1314450" cy="52387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F9B" w:rsidRPr="00103C41">
        <w:rPr>
          <w:rFonts w:ascii="Arial" w:hAnsi="Arial" w:cs="Arial"/>
          <w:b/>
          <w:sz w:val="24"/>
          <w:szCs w:val="24"/>
        </w:rPr>
        <w:t xml:space="preserve">                      </w:t>
      </w:r>
      <w:r w:rsidR="00605F9B" w:rsidRPr="00103C41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19A60475" wp14:editId="1105BB5F">
            <wp:extent cx="1390650" cy="581025"/>
            <wp:effectExtent l="19050" t="0" r="0" b="0"/>
            <wp:docPr id="54" name="Picture 14" descr="D:\Document New\signature S Sarkar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 New\signature S Sarkar (new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B6806" w14:textId="72B3D9E0" w:rsidR="00E63D16" w:rsidRPr="00103C41" w:rsidRDefault="00E63D16" w:rsidP="0093219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3C41">
        <w:rPr>
          <w:rFonts w:ascii="Arial" w:hAnsi="Arial" w:cs="Arial"/>
          <w:b/>
          <w:sz w:val="24"/>
          <w:szCs w:val="24"/>
        </w:rPr>
        <w:tab/>
      </w:r>
      <w:r w:rsidRPr="00103C41">
        <w:rPr>
          <w:rFonts w:ascii="Arial" w:hAnsi="Arial" w:cs="Arial"/>
          <w:b/>
          <w:sz w:val="24"/>
          <w:szCs w:val="24"/>
        </w:rPr>
        <w:tab/>
      </w:r>
      <w:r w:rsidRPr="00103C41">
        <w:rPr>
          <w:rFonts w:ascii="Arial" w:hAnsi="Arial" w:cs="Arial"/>
          <w:b/>
          <w:sz w:val="24"/>
          <w:szCs w:val="24"/>
        </w:rPr>
        <w:tab/>
      </w:r>
      <w:r w:rsidRPr="00103C41">
        <w:rPr>
          <w:rFonts w:ascii="Arial" w:hAnsi="Arial" w:cs="Arial"/>
          <w:b/>
          <w:sz w:val="24"/>
          <w:szCs w:val="24"/>
        </w:rPr>
        <w:tab/>
      </w:r>
      <w:r w:rsidRPr="00103C41">
        <w:rPr>
          <w:rFonts w:ascii="Arial" w:hAnsi="Arial" w:cs="Arial"/>
          <w:b/>
          <w:sz w:val="24"/>
          <w:szCs w:val="24"/>
        </w:rPr>
        <w:tab/>
      </w:r>
      <w:r w:rsidRPr="00103C41">
        <w:rPr>
          <w:rFonts w:ascii="Arial" w:hAnsi="Arial" w:cs="Arial"/>
          <w:b/>
          <w:sz w:val="24"/>
          <w:szCs w:val="24"/>
        </w:rPr>
        <w:tab/>
      </w:r>
    </w:p>
    <w:p w14:paraId="77816B05" w14:textId="38E64896" w:rsidR="00AE642A" w:rsidRPr="00103C41" w:rsidRDefault="00AE642A" w:rsidP="0093219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3C41">
        <w:rPr>
          <w:rFonts w:ascii="Arial" w:hAnsi="Arial" w:cs="Arial"/>
          <w:b/>
          <w:sz w:val="24"/>
          <w:szCs w:val="24"/>
        </w:rPr>
        <w:t>K.V.Acharya</w:t>
      </w:r>
      <w:r w:rsidR="00E63D16" w:rsidRPr="00103C41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                                      </w:t>
      </w:r>
      <w:r w:rsidR="00E63D16" w:rsidRPr="00103C41">
        <w:rPr>
          <w:rFonts w:ascii="Arial" w:hAnsi="Arial" w:cs="Arial"/>
          <w:b/>
          <w:bCs/>
          <w:color w:val="000000"/>
          <w:sz w:val="24"/>
          <w:szCs w:val="24"/>
          <w:lang w:val="en-IN" w:eastAsia="en-IN"/>
        </w:rPr>
        <w:t>S.Sarkar</w:t>
      </w:r>
      <w:r w:rsidR="00E63D16" w:rsidRPr="00103C41">
        <w:rPr>
          <w:rFonts w:ascii="Arial" w:hAnsi="Arial" w:cs="Arial"/>
          <w:color w:val="000000"/>
          <w:sz w:val="24"/>
          <w:szCs w:val="24"/>
          <w:lang w:val="en-IN" w:eastAsia="en-IN"/>
        </w:rPr>
        <w:t>                                 </w:t>
      </w:r>
    </w:p>
    <w:p w14:paraId="2C3CF630" w14:textId="3F88DD57" w:rsidR="005219AF" w:rsidRPr="00CE218A" w:rsidRDefault="00AE642A" w:rsidP="0093219F">
      <w:pPr>
        <w:spacing w:after="0" w:line="240" w:lineRule="auto"/>
        <w:rPr>
          <w:sz w:val="36"/>
          <w:szCs w:val="36"/>
        </w:rPr>
      </w:pPr>
      <w:r w:rsidRPr="00103C41">
        <w:rPr>
          <w:rFonts w:ascii="Arial" w:hAnsi="Arial" w:cs="Arial"/>
          <w:b/>
          <w:sz w:val="24"/>
          <w:szCs w:val="24"/>
        </w:rPr>
        <w:t>PRESIDENT</w:t>
      </w:r>
      <w:r w:rsidR="0093219F">
        <w:rPr>
          <w:rFonts w:ascii="Arial" w:hAnsi="Arial" w:cs="Arial"/>
          <w:b/>
          <w:sz w:val="24"/>
          <w:szCs w:val="24"/>
        </w:rPr>
        <w:t xml:space="preserve">               </w:t>
      </w:r>
      <w:r w:rsidR="00E63D16" w:rsidRPr="00103C41">
        <w:rPr>
          <w:rFonts w:ascii="Arial" w:hAnsi="Arial" w:cs="Arial"/>
          <w:b/>
          <w:sz w:val="24"/>
          <w:szCs w:val="24"/>
        </w:rPr>
        <w:t xml:space="preserve">                   General Secretary</w:t>
      </w:r>
      <w:r w:rsidR="00CE218A" w:rsidRPr="00E63D16">
        <w:rPr>
          <w:rFonts w:ascii="Arial" w:hAnsi="Arial" w:cs="Arial"/>
          <w:sz w:val="24"/>
          <w:szCs w:val="24"/>
        </w:rPr>
        <w:tab/>
      </w:r>
    </w:p>
    <w:sectPr w:rsidR="005219AF" w:rsidRPr="00CE218A" w:rsidSect="00072703">
      <w:headerReference w:type="default" r:id="rId9"/>
      <w:footerReference w:type="default" r:id="rId10"/>
      <w:pgSz w:w="12240" w:h="15840"/>
      <w:pgMar w:top="1440" w:right="1021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49FA6" w14:textId="77777777" w:rsidR="005E7811" w:rsidRDefault="005E7811" w:rsidP="00E63D16">
      <w:pPr>
        <w:spacing w:after="0" w:line="240" w:lineRule="auto"/>
      </w:pPr>
      <w:r>
        <w:separator/>
      </w:r>
    </w:p>
  </w:endnote>
  <w:endnote w:type="continuationSeparator" w:id="0">
    <w:p w14:paraId="2ECCF1C2" w14:textId="77777777" w:rsidR="005E7811" w:rsidRDefault="005E7811" w:rsidP="00E6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743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45BEF" w14:textId="356BB165" w:rsidR="00490742" w:rsidRDefault="00490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3885E" w14:textId="77777777" w:rsidR="00490742" w:rsidRDefault="00490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8A7CF" w14:textId="77777777" w:rsidR="005E7811" w:rsidRDefault="005E7811" w:rsidP="00E63D16">
      <w:pPr>
        <w:spacing w:after="0" w:line="240" w:lineRule="auto"/>
      </w:pPr>
      <w:r>
        <w:separator/>
      </w:r>
    </w:p>
  </w:footnote>
  <w:footnote w:type="continuationSeparator" w:id="0">
    <w:p w14:paraId="0917CFB0" w14:textId="77777777" w:rsidR="005E7811" w:rsidRDefault="005E7811" w:rsidP="00E6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2F43" w14:textId="0EBF79E0" w:rsidR="00E63D16" w:rsidRPr="003A4AAB" w:rsidRDefault="00072703" w:rsidP="00072703">
    <w:pPr>
      <w:pBdr>
        <w:top w:val="single" w:sz="4" w:space="1" w:color="002060"/>
        <w:left w:val="single" w:sz="4" w:space="0" w:color="002060"/>
        <w:bottom w:val="single" w:sz="4" w:space="1" w:color="002060"/>
        <w:right w:val="single" w:sz="4" w:space="4" w:color="002060"/>
      </w:pBdr>
      <w:spacing w:after="0"/>
      <w:rPr>
        <w:color w:val="002060"/>
        <w:sz w:val="40"/>
        <w:szCs w:val="40"/>
      </w:rPr>
    </w:pPr>
    <w:r>
      <w:rPr>
        <w:color w:val="002060"/>
        <w:sz w:val="40"/>
        <w:szCs w:val="40"/>
      </w:rPr>
      <w:t xml:space="preserve"> </w:t>
    </w:r>
    <w:r w:rsidR="00E63D16" w:rsidRPr="003A4AAB">
      <w:rPr>
        <w:color w:val="002060"/>
        <w:sz w:val="40"/>
        <w:szCs w:val="40"/>
      </w:rPr>
      <w:t xml:space="preserve">ALL INDIA BANK PENSIONERS AND RETIREES </w:t>
    </w:r>
    <w:r>
      <w:rPr>
        <w:color w:val="002060"/>
        <w:sz w:val="40"/>
        <w:szCs w:val="40"/>
      </w:rPr>
      <w:t>C</w:t>
    </w:r>
    <w:r w:rsidR="00E63D16" w:rsidRPr="003A4AAB">
      <w:rPr>
        <w:color w:val="002060"/>
        <w:sz w:val="40"/>
        <w:szCs w:val="40"/>
      </w:rPr>
      <w:t>ONFEDERATION</w:t>
    </w:r>
  </w:p>
  <w:p w14:paraId="5811203D" w14:textId="77777777" w:rsidR="00E63D16" w:rsidRDefault="00E63D16" w:rsidP="00E63D16">
    <w:pPr>
      <w:pBdr>
        <w:top w:val="single" w:sz="4" w:space="1" w:color="002060"/>
        <w:left w:val="single" w:sz="4" w:space="0" w:color="002060"/>
        <w:bottom w:val="single" w:sz="4" w:space="1" w:color="002060"/>
        <w:right w:val="single" w:sz="4" w:space="4" w:color="002060"/>
      </w:pBdr>
      <w:spacing w:after="0" w:line="240" w:lineRule="auto"/>
      <w:jc w:val="center"/>
      <w:rPr>
        <w:color w:val="365F91"/>
        <w:sz w:val="28"/>
        <w:szCs w:val="28"/>
      </w:rPr>
    </w:pPr>
    <w:r w:rsidRPr="005219AF">
      <w:rPr>
        <w:color w:val="365F91"/>
        <w:sz w:val="28"/>
        <w:szCs w:val="28"/>
      </w:rPr>
      <w:t>Camp Office: J 208, Vijay Rattan Vihar, Sector 15 Part II</w:t>
    </w:r>
    <w:r>
      <w:rPr>
        <w:color w:val="365F91"/>
        <w:sz w:val="28"/>
        <w:szCs w:val="28"/>
      </w:rPr>
      <w:t>,</w:t>
    </w:r>
    <w:r w:rsidRPr="005219AF">
      <w:rPr>
        <w:color w:val="365F91"/>
        <w:sz w:val="28"/>
        <w:szCs w:val="28"/>
      </w:rPr>
      <w:t xml:space="preserve"> Gur</w:t>
    </w:r>
    <w:r>
      <w:rPr>
        <w:color w:val="365F91"/>
        <w:sz w:val="28"/>
        <w:szCs w:val="28"/>
      </w:rPr>
      <w:t>u</w:t>
    </w:r>
    <w:r w:rsidRPr="005219AF">
      <w:rPr>
        <w:color w:val="365F91"/>
        <w:sz w:val="28"/>
        <w:szCs w:val="28"/>
      </w:rPr>
      <w:t>g</w:t>
    </w:r>
    <w:r>
      <w:rPr>
        <w:color w:val="365F91"/>
        <w:sz w:val="28"/>
        <w:szCs w:val="28"/>
      </w:rPr>
      <w:t>r</w:t>
    </w:r>
    <w:r w:rsidRPr="005219AF">
      <w:rPr>
        <w:color w:val="365F91"/>
        <w:sz w:val="28"/>
        <w:szCs w:val="28"/>
      </w:rPr>
      <w:t>a</w:t>
    </w:r>
    <w:r>
      <w:rPr>
        <w:color w:val="365F91"/>
        <w:sz w:val="28"/>
        <w:szCs w:val="28"/>
      </w:rPr>
      <w:t>m 122001</w:t>
    </w:r>
  </w:p>
  <w:p w14:paraId="240EAA97" w14:textId="77777777" w:rsidR="00E63D16" w:rsidRPr="005219AF" w:rsidRDefault="00E63D16" w:rsidP="00E63D16">
    <w:pPr>
      <w:pBdr>
        <w:top w:val="single" w:sz="4" w:space="1" w:color="002060"/>
        <w:left w:val="single" w:sz="4" w:space="0" w:color="002060"/>
        <w:bottom w:val="single" w:sz="4" w:space="1" w:color="002060"/>
        <w:right w:val="single" w:sz="4" w:space="4" w:color="002060"/>
      </w:pBdr>
      <w:spacing w:after="0" w:line="240" w:lineRule="auto"/>
      <w:jc w:val="center"/>
      <w:rPr>
        <w:color w:val="365F91"/>
        <w:sz w:val="36"/>
        <w:szCs w:val="36"/>
      </w:rPr>
    </w:pPr>
    <w:r>
      <w:rPr>
        <w:color w:val="365F91"/>
        <w:sz w:val="28"/>
        <w:szCs w:val="28"/>
      </w:rPr>
      <w:t>Mobile: 9868220338   Email: acharyavedavyasa46@gmail.com</w:t>
    </w:r>
    <w:r>
      <w:rPr>
        <w:color w:val="365F91"/>
        <w:sz w:val="36"/>
        <w:szCs w:val="36"/>
      </w:rPr>
      <w:t xml:space="preserve">                       </w:t>
    </w:r>
  </w:p>
  <w:p w14:paraId="29B9F755" w14:textId="77777777" w:rsidR="00E63D16" w:rsidRDefault="00E63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999"/>
    <w:multiLevelType w:val="multilevel"/>
    <w:tmpl w:val="3A94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05190"/>
    <w:multiLevelType w:val="hybridMultilevel"/>
    <w:tmpl w:val="7E04CD7E"/>
    <w:lvl w:ilvl="0" w:tplc="0388D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508A"/>
    <w:multiLevelType w:val="hybridMultilevel"/>
    <w:tmpl w:val="A224DF9C"/>
    <w:lvl w:ilvl="0" w:tplc="83501B9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E10E1"/>
    <w:multiLevelType w:val="hybridMultilevel"/>
    <w:tmpl w:val="74EC07C4"/>
    <w:lvl w:ilvl="0" w:tplc="65F86876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2941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0D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A6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E68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CE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C4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40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4A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C08E9"/>
    <w:multiLevelType w:val="multilevel"/>
    <w:tmpl w:val="F3B4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61D95"/>
    <w:multiLevelType w:val="multilevel"/>
    <w:tmpl w:val="4AC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92940"/>
    <w:multiLevelType w:val="hybridMultilevel"/>
    <w:tmpl w:val="EB5A947A"/>
    <w:lvl w:ilvl="0" w:tplc="30487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lvl w:ilvl="0">
        <w:numFmt w:val="lowerRoman"/>
        <w:lvlText w:val="%1."/>
        <w:lvlJc w:val="right"/>
      </w:lvl>
    </w:lvlOverride>
  </w:num>
  <w:num w:numId="2">
    <w:abstractNumId w:val="4"/>
    <w:lvlOverride w:ilvl="0">
      <w:lvl w:ilvl="0">
        <w:numFmt w:val="lowerRoman"/>
        <w:lvlText w:val="%1."/>
        <w:lvlJc w:val="right"/>
      </w:lvl>
    </w:lvlOverride>
  </w:num>
  <w:num w:numId="3">
    <w:abstractNumId w:val="3"/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AF"/>
    <w:rsid w:val="00072703"/>
    <w:rsid w:val="000F7715"/>
    <w:rsid w:val="00103C41"/>
    <w:rsid w:val="00104A14"/>
    <w:rsid w:val="00395BB3"/>
    <w:rsid w:val="003A4AAB"/>
    <w:rsid w:val="003C026B"/>
    <w:rsid w:val="003E5E9D"/>
    <w:rsid w:val="00490742"/>
    <w:rsid w:val="004B313E"/>
    <w:rsid w:val="004E24A9"/>
    <w:rsid w:val="005219AF"/>
    <w:rsid w:val="005C7798"/>
    <w:rsid w:val="005D160E"/>
    <w:rsid w:val="005E7811"/>
    <w:rsid w:val="00602D38"/>
    <w:rsid w:val="00605F9B"/>
    <w:rsid w:val="006173BB"/>
    <w:rsid w:val="00630A64"/>
    <w:rsid w:val="00641E97"/>
    <w:rsid w:val="00694A2B"/>
    <w:rsid w:val="0069689E"/>
    <w:rsid w:val="006F0324"/>
    <w:rsid w:val="00766831"/>
    <w:rsid w:val="007D3308"/>
    <w:rsid w:val="007F06C2"/>
    <w:rsid w:val="0081153F"/>
    <w:rsid w:val="00852C15"/>
    <w:rsid w:val="008F250A"/>
    <w:rsid w:val="0093219F"/>
    <w:rsid w:val="00990775"/>
    <w:rsid w:val="009C6294"/>
    <w:rsid w:val="009E678F"/>
    <w:rsid w:val="009F099B"/>
    <w:rsid w:val="00A04EE0"/>
    <w:rsid w:val="00A44673"/>
    <w:rsid w:val="00AE642A"/>
    <w:rsid w:val="00B3230E"/>
    <w:rsid w:val="00BF68BE"/>
    <w:rsid w:val="00C14F71"/>
    <w:rsid w:val="00C17D72"/>
    <w:rsid w:val="00C64B2D"/>
    <w:rsid w:val="00CB612F"/>
    <w:rsid w:val="00CE218A"/>
    <w:rsid w:val="00D01CD9"/>
    <w:rsid w:val="00D0446E"/>
    <w:rsid w:val="00D257D0"/>
    <w:rsid w:val="00D353AA"/>
    <w:rsid w:val="00D62073"/>
    <w:rsid w:val="00DF0DCF"/>
    <w:rsid w:val="00E176B7"/>
    <w:rsid w:val="00E63D16"/>
    <w:rsid w:val="00EE2F45"/>
    <w:rsid w:val="00F229BA"/>
    <w:rsid w:val="00F30AF1"/>
    <w:rsid w:val="00F42EFD"/>
    <w:rsid w:val="00F9524A"/>
    <w:rsid w:val="00FB35F7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8BC54"/>
  <w15:chartTrackingRefBased/>
  <w15:docId w15:val="{9C83F2E5-7CBC-4F4B-A918-67E405F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2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6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1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0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</dc:creator>
  <cp:keywords/>
  <cp:lastModifiedBy>Krishnaraj</cp:lastModifiedBy>
  <cp:revision>2</cp:revision>
  <dcterms:created xsi:type="dcterms:W3CDTF">2020-05-22T06:50:00Z</dcterms:created>
  <dcterms:modified xsi:type="dcterms:W3CDTF">2020-05-22T06:50:00Z</dcterms:modified>
</cp:coreProperties>
</file>